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D31F81"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55B5B0A" w:rsidR="009815C7" w:rsidRPr="007B0071" w:rsidRDefault="00D31F81" w:rsidP="00E9333B">
      <w:pPr>
        <w:spacing w:after="0" w:line="240" w:lineRule="auto"/>
        <w:jc w:val="center"/>
        <w:rPr>
          <w:rFonts w:ascii="Sylfaen" w:hAnsi="Sylfaen" w:cs="Sylfaen"/>
          <w:b/>
          <w:lang w:val="ka-GE"/>
        </w:rPr>
      </w:pPr>
      <w:r>
        <w:rPr>
          <w:rFonts w:ascii="Sylfaen" w:hAnsi="Sylfaen" w:cs="Sylfaen"/>
          <w:b/>
          <w:lang w:val="ka-GE"/>
        </w:rPr>
        <w:t>მოსკოვის გამზირზე N</w:t>
      </w:r>
      <w:r w:rsidRPr="00D31F81">
        <w:rPr>
          <w:rFonts w:ascii="Sylfaen" w:hAnsi="Sylfaen" w:cs="Sylfaen"/>
          <w:b/>
          <w:lang w:val="ka-GE"/>
        </w:rPr>
        <w:t>35-39</w:t>
      </w:r>
      <w:r>
        <w:rPr>
          <w:rFonts w:ascii="Sylfaen" w:hAnsi="Sylfaen" w:cs="Sylfaen"/>
          <w:b/>
          <w:lang w:val="ka-GE"/>
        </w:rPr>
        <w:t xml:space="preserve">-ის და „ვარძიის სკვერის“ მიმდებარედ </w:t>
      </w:r>
      <w:r w:rsidRPr="00D31F81">
        <w:rPr>
          <w:rFonts w:ascii="Sylfaen" w:hAnsi="Sylfaen" w:cs="Sylfaen"/>
          <w:b/>
          <w:lang w:val="ka-GE"/>
        </w:rPr>
        <w:t>წყალარინების ქსელ</w:t>
      </w:r>
      <w:r>
        <w:rPr>
          <w:rFonts w:ascii="Sylfaen" w:hAnsi="Sylfaen" w:cs="Sylfaen"/>
          <w:b/>
          <w:lang w:val="ka-GE"/>
        </w:rPr>
        <w:t>ებ</w:t>
      </w:r>
      <w:r w:rsidRPr="00D31F81">
        <w:rPr>
          <w:rFonts w:ascii="Sylfaen" w:hAnsi="Sylfaen" w:cs="Sylfaen"/>
          <w:b/>
          <w:lang w:val="ka-GE"/>
        </w:rPr>
        <w:t xml:space="preserve">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72EA63C1"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31F81" w:rsidRPr="00D31F81">
        <w:rPr>
          <w:rFonts w:ascii="Sylfaen" w:hAnsi="Sylfaen" w:cs="Sylfaen"/>
          <w:lang w:val="ka-GE"/>
        </w:rPr>
        <w:t>მოსკოვის გამზირზე N35-39-ის და „ვარძიის სკვერის“ მ</w:t>
      </w:r>
      <w:r w:rsidR="00D31F81">
        <w:rPr>
          <w:rFonts w:ascii="Sylfaen" w:hAnsi="Sylfaen" w:cs="Sylfaen"/>
          <w:lang w:val="ka-GE"/>
        </w:rPr>
        <w:t>იმდებარედ წყალარინების ქსელების</w:t>
      </w:r>
      <w:r w:rsidR="00E1371C" w:rsidRPr="00E1371C">
        <w:rPr>
          <w:rFonts w:ascii="Sylfaen" w:hAnsi="Sylfaen" w:cs="Sylfaen"/>
          <w:lang w:val="ka-GE"/>
        </w:rPr>
        <w:t xml:space="preserve"> </w:t>
      </w:r>
      <w:r w:rsidR="004A02D2" w:rsidRPr="004A02D2">
        <w:rPr>
          <w:rFonts w:ascii="Sylfaen" w:hAnsi="Sylfaen" w:cs="Sylfaen"/>
          <w:lang w:val="ka-GE"/>
        </w:rPr>
        <w:t xml:space="preserve">სარეაბილიტაციო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4A02D2" w:rsidRDefault="004A02D2" w:rsidP="00DE5EA9">
      <w:pPr>
        <w:spacing w:after="0" w:line="240" w:lineRule="auto"/>
        <w:jc w:val="both"/>
        <w:rPr>
          <w:rFonts w:ascii="Sylfaen" w:hAnsi="Sylfaen" w:cs="Sylfaen"/>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4675135C" w:rsidR="00DB5C8D" w:rsidRDefault="00D31F81" w:rsidP="00DE5EA9">
      <w:pPr>
        <w:spacing w:after="0" w:line="240" w:lineRule="auto"/>
        <w:jc w:val="both"/>
        <w:rPr>
          <w:rFonts w:ascii="Sylfaen" w:hAnsi="Sylfaen" w:cs="Sylfaen"/>
          <w:lang w:val="ka-GE"/>
        </w:rPr>
      </w:pPr>
      <w:r w:rsidRPr="00D31F81">
        <w:rPr>
          <w:rFonts w:ascii="Sylfaen" w:hAnsi="Sylfaen" w:cs="Sylfaen"/>
          <w:lang w:val="ka-GE"/>
        </w:rPr>
        <w:t xml:space="preserve">მოსკოვის გამზირზე N35-39-ის და „ვარძიის სკვერის“ მიმდებარედ წყალარინების ქსელების </w:t>
      </w:r>
      <w:r w:rsidR="00613351">
        <w:rPr>
          <w:rFonts w:ascii="Sylfaen" w:hAnsi="Sylfaen" w:cs="Sylfaen"/>
          <w:lang w:val="ka-GE"/>
        </w:rPr>
        <w:t>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566E7D6A" w14:textId="7F1C8BBC" w:rsidR="007810B6" w:rsidRDefault="004A02D2" w:rsidP="004A02D2">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sidR="00521801">
        <w:rPr>
          <w:rFonts w:ascii="Sylfaen" w:hAnsi="Sylfaen" w:cs="Sylfaen"/>
          <w:lang w:val="ka-GE"/>
        </w:rPr>
        <w:t xml:space="preserve"> </w:t>
      </w:r>
      <w:r w:rsidRPr="007F1866">
        <w:rPr>
          <w:rFonts w:ascii="Sylfaen" w:hAnsi="Sylfaen" w:cs="Sylfaen"/>
          <w:lang w:val="ka-GE"/>
        </w:rPr>
        <w:t xml:space="preserve">ტენდერში </w:t>
      </w:r>
      <w:r w:rsidR="007810B6" w:rsidRPr="007F1866">
        <w:rPr>
          <w:rFonts w:ascii="Sylfaen" w:hAnsi="Sylfaen" w:cs="Sylfaen"/>
          <w:lang w:val="ka-GE"/>
        </w:rPr>
        <w:t>მონაწილე</w:t>
      </w:r>
      <w:r w:rsidRPr="007F1866">
        <w:rPr>
          <w:rFonts w:ascii="Sylfaen" w:hAnsi="Sylfaen" w:cs="Sylfaen"/>
          <w:lang w:val="ka-GE"/>
        </w:rPr>
        <w:t xml:space="preserve"> კომპანია ვალდებულია ხელშეკრუ</w:t>
      </w:r>
      <w:r w:rsidR="007810B6" w:rsidRPr="007F1866">
        <w:rPr>
          <w:rFonts w:ascii="Sylfaen" w:hAnsi="Sylfaen" w:cs="Sylfaen"/>
          <w:lang w:val="ka-GE"/>
        </w:rPr>
        <w:t xml:space="preserve">ლების გაფორმებამდე </w:t>
      </w:r>
      <w:r w:rsidR="00D31F81" w:rsidRPr="00D31F81">
        <w:rPr>
          <w:rFonts w:ascii="Sylfaen" w:hAnsi="Sylfaen" w:cs="Sylfaen"/>
          <w:b/>
          <w:lang w:val="ka-GE"/>
        </w:rPr>
        <w:t xml:space="preserve">მოსკოვის გამზირი </w:t>
      </w:r>
      <w:r w:rsidR="00E0485D">
        <w:rPr>
          <w:rFonts w:ascii="Sylfaen" w:hAnsi="Sylfaen" w:cs="Sylfaen"/>
          <w:b/>
          <w:lang w:val="ka-GE"/>
        </w:rPr>
        <w:t>N</w:t>
      </w:r>
      <w:r w:rsidR="00D31F81" w:rsidRPr="00D31F81">
        <w:rPr>
          <w:rFonts w:ascii="Sylfaen" w:hAnsi="Sylfaen" w:cs="Sylfaen"/>
          <w:b/>
          <w:lang w:val="ka-GE"/>
        </w:rPr>
        <w:t>35-39_</w:t>
      </w:r>
      <w:r w:rsidR="00D31F81">
        <w:rPr>
          <w:rFonts w:ascii="Sylfaen" w:hAnsi="Sylfaen" w:cs="Sylfaen"/>
          <w:b/>
          <w:lang w:val="ka-GE"/>
        </w:rPr>
        <w:t xml:space="preserve">წყალარინების ქსელის რეაბილიტაციის </w:t>
      </w:r>
      <w:r w:rsidR="00BC2FA5" w:rsidRPr="00BC2FA5">
        <w:rPr>
          <w:rFonts w:ascii="Sylfaen" w:hAnsi="Sylfaen" w:cs="Sylfaen"/>
          <w:b/>
          <w:lang w:val="ka-GE"/>
        </w:rPr>
        <w:t>პროექტზე</w:t>
      </w:r>
      <w:r w:rsidR="00BC2FA5">
        <w:rPr>
          <w:rFonts w:ascii="Sylfaen" w:hAnsi="Sylfaen" w:cs="Sylfaen"/>
          <w:lang w:val="ka-GE"/>
        </w:rPr>
        <w:t xml:space="preserve"> </w:t>
      </w:r>
      <w:r w:rsidR="007810B6" w:rsidRPr="007F1866">
        <w:rPr>
          <w:rFonts w:ascii="Sylfaen" w:hAnsi="Sylfaen" w:cs="Sylfaen"/>
          <w:lang w:val="ka-GE"/>
        </w:rPr>
        <w:t>წარმოადგინოს:</w:t>
      </w:r>
    </w:p>
    <w:p w14:paraId="6AF840A6" w14:textId="77777777" w:rsidR="00521801" w:rsidRPr="007F1866" w:rsidRDefault="00521801" w:rsidP="004A02D2">
      <w:pPr>
        <w:spacing w:after="0" w:line="240" w:lineRule="auto"/>
        <w:jc w:val="both"/>
        <w:rPr>
          <w:rFonts w:ascii="Sylfaen" w:hAnsi="Sylfaen" w:cs="Sylfaen"/>
          <w:lang w:val="ka-GE"/>
        </w:rPr>
      </w:pPr>
    </w:p>
    <w:p w14:paraId="60146B5C" w14:textId="668E0ABE" w:rsidR="007810B6" w:rsidRPr="007F1866" w:rsidRDefault="004A02D2" w:rsidP="00780395">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 xml:space="preserve">სამშენებლო სამუშაოების </w:t>
      </w:r>
      <w:r w:rsidR="00777DC3" w:rsidRPr="007F1866">
        <w:rPr>
          <w:rFonts w:ascii="Sylfaen" w:hAnsi="Sylfaen" w:cs="Sylfaen"/>
          <w:lang w:val="ka-GE"/>
        </w:rPr>
        <w:t>დაზღვევა სრულ მოცულობაზე (კონტრაქტორის</w:t>
      </w:r>
      <w:r w:rsidR="007810B6" w:rsidRPr="007F1866">
        <w:rPr>
          <w:rFonts w:ascii="Sylfaen" w:hAnsi="Sylfaen" w:cs="Sylfaen"/>
          <w:lang w:val="ka-GE"/>
        </w:rPr>
        <w:t xml:space="preserve"> </w:t>
      </w:r>
      <w:r w:rsidR="00FE70B4">
        <w:rPr>
          <w:rFonts w:ascii="Sylfaen" w:hAnsi="Sylfaen" w:cs="Sylfaen"/>
          <w:lang w:val="ka-GE"/>
        </w:rPr>
        <w:t xml:space="preserve">ყველა რისკის დაზღვევის პოლისი) + </w:t>
      </w:r>
      <w:r w:rsidR="00FE70B4">
        <w:rPr>
          <w:rFonts w:ascii="Sylfaen" w:hAnsi="Sylfaen" w:cs="Sylfaen"/>
        </w:rPr>
        <w:t>GWP-</w:t>
      </w:r>
      <w:r w:rsidR="00FE70B4">
        <w:rPr>
          <w:rFonts w:ascii="Sylfaen" w:hAnsi="Sylfaen" w:cs="Sylfaen"/>
          <w:lang w:val="ka-GE"/>
        </w:rPr>
        <w:t xml:space="preserve">ის </w:t>
      </w:r>
      <w:r w:rsidR="00E96848">
        <w:rPr>
          <w:rFonts w:ascii="Sylfaen" w:hAnsi="Sylfaen" w:cs="Sylfaen"/>
          <w:lang w:val="ka-GE"/>
        </w:rPr>
        <w:t>მასალის გათვალისწინები</w:t>
      </w:r>
      <w:r w:rsidR="00032926">
        <w:rPr>
          <w:rFonts w:ascii="Sylfaen" w:hAnsi="Sylfaen" w:cs="Sylfaen"/>
          <w:lang w:val="ka-GE"/>
        </w:rPr>
        <w:t>თ (4</w:t>
      </w:r>
      <w:r w:rsidR="00D31F81">
        <w:rPr>
          <w:rFonts w:ascii="Sylfaen" w:hAnsi="Sylfaen" w:cs="Sylfaen"/>
          <w:lang w:val="ka-GE"/>
        </w:rPr>
        <w:t>5</w:t>
      </w:r>
      <w:r w:rsidR="00780395" w:rsidRPr="00780395">
        <w:rPr>
          <w:rFonts w:ascii="Sylfaen" w:hAnsi="Sylfaen" w:cs="Sylfaen"/>
          <w:lang w:val="ka-GE"/>
        </w:rPr>
        <w:t>,</w:t>
      </w:r>
      <w:r w:rsidR="00D31F81">
        <w:rPr>
          <w:rFonts w:ascii="Sylfaen" w:hAnsi="Sylfaen" w:cs="Sylfaen"/>
          <w:lang w:val="ka-GE"/>
        </w:rPr>
        <w:t>0</w:t>
      </w:r>
      <w:r w:rsidR="00780395" w:rsidRPr="00780395">
        <w:rPr>
          <w:rFonts w:ascii="Sylfaen" w:hAnsi="Sylfaen" w:cs="Sylfaen"/>
          <w:lang w:val="ka-GE"/>
        </w:rPr>
        <w:t>0</w:t>
      </w:r>
      <w:r w:rsidR="00780395">
        <w:rPr>
          <w:rFonts w:ascii="Sylfaen" w:hAnsi="Sylfaen" w:cs="Sylfaen"/>
          <w:lang w:val="ka-GE"/>
        </w:rPr>
        <w:t>0</w:t>
      </w:r>
      <w:r w:rsidR="00780395" w:rsidRPr="00780395">
        <w:rPr>
          <w:rFonts w:ascii="Sylfaen" w:hAnsi="Sylfaen" w:cs="Sylfaen"/>
          <w:lang w:val="ka-GE"/>
        </w:rPr>
        <w:t>.</w:t>
      </w:r>
      <w:r w:rsidR="00780395">
        <w:rPr>
          <w:rFonts w:ascii="Sylfaen" w:hAnsi="Sylfaen" w:cs="Sylfaen"/>
          <w:lang w:val="ka-GE"/>
        </w:rPr>
        <w:t>00</w:t>
      </w:r>
      <w:r w:rsidR="00780395" w:rsidRPr="00780395">
        <w:rPr>
          <w:rFonts w:ascii="Sylfaen" w:hAnsi="Sylfaen" w:cs="Sylfaen"/>
          <w:lang w:val="ka-GE"/>
        </w:rPr>
        <w:t xml:space="preserve"> ლარი);</w:t>
      </w:r>
    </w:p>
    <w:p w14:paraId="46516738" w14:textId="5522BA56" w:rsidR="004A02D2" w:rsidRPr="007F1866" w:rsidRDefault="00777DC3" w:rsidP="007810B6">
      <w:pPr>
        <w:pStyle w:val="ListParagraph"/>
        <w:numPr>
          <w:ilvl w:val="0"/>
          <w:numId w:val="50"/>
        </w:numPr>
        <w:spacing w:after="0" w:line="240" w:lineRule="auto"/>
        <w:jc w:val="both"/>
        <w:rPr>
          <w:rFonts w:ascii="Sylfaen" w:hAnsi="Sylfaen" w:cs="Sylfaen"/>
          <w:lang w:val="ka-GE"/>
        </w:rPr>
      </w:pPr>
      <w:r w:rsidRPr="007F1866">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sidR="002706F1">
        <w:rPr>
          <w:rFonts w:ascii="Sylfaen" w:hAnsi="Sylfaen" w:cs="Sylfaen"/>
          <w:lang w:val="ka-GE"/>
        </w:rPr>
        <w:t>ა იყოს 5</w:t>
      </w:r>
      <w:r w:rsidR="007810B6" w:rsidRPr="007F1866">
        <w:rPr>
          <w:rFonts w:ascii="Sylfaen" w:hAnsi="Sylfaen" w:cs="Sylfaen"/>
          <w:lang w:val="ka-GE"/>
        </w:rPr>
        <w:t>00,000</w:t>
      </w:r>
      <w:r w:rsidR="00C81A35">
        <w:rPr>
          <w:rFonts w:ascii="Sylfaen" w:hAnsi="Sylfaen" w:cs="Sylfaen"/>
          <w:lang w:val="ka-GE"/>
        </w:rPr>
        <w:t>.00</w:t>
      </w:r>
      <w:r w:rsidR="007810B6" w:rsidRPr="007F1866">
        <w:rPr>
          <w:rFonts w:ascii="Sylfaen" w:hAnsi="Sylfaen" w:cs="Sylfaen"/>
          <w:lang w:val="ka-GE"/>
        </w:rPr>
        <w:t xml:space="preserve"> ლარზე ნაკლები.</w:t>
      </w:r>
    </w:p>
    <w:p w14:paraId="79D7BAA8" w14:textId="654B07BE"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ღირებულება უნდა იყოს წარმოდგენილი ცალკე, ტენდერში მოცემუ</w:t>
      </w:r>
      <w:r w:rsidR="007722C1">
        <w:rPr>
          <w:rFonts w:ascii="Sylfaen" w:hAnsi="Sylfaen" w:cs="Sylfaen"/>
          <w:lang w:val="ka-GE"/>
        </w:rPr>
        <w:t>ლი განფასებების დამატებით ველში „სადაზღვეო ღირებულება“ (გამწვანებულ ველში)</w:t>
      </w:r>
    </w:p>
    <w:p w14:paraId="6C6C2CEE" w14:textId="7F5809B0" w:rsidR="007810B6" w:rsidRDefault="007810B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w:t>
      </w:r>
      <w:r w:rsidR="007F1866">
        <w:rPr>
          <w:rFonts w:ascii="Sylfaen" w:hAnsi="Sylfaen" w:cs="Sylfaen"/>
          <w:lang w:val="ka-GE"/>
        </w:rPr>
        <w:t xml:space="preserve"> მომსახურების გაწევის დამადასტურებელი დოკუმენტაცია.</w:t>
      </w:r>
    </w:p>
    <w:p w14:paraId="6F78981A" w14:textId="77F7497F" w:rsidR="007F1866" w:rsidRPr="007810B6" w:rsidRDefault="007F1866" w:rsidP="007810B6">
      <w:pPr>
        <w:pStyle w:val="ListParagraph"/>
        <w:numPr>
          <w:ilvl w:val="0"/>
          <w:numId w:val="50"/>
        </w:numPr>
        <w:spacing w:after="0" w:line="240" w:lineRule="auto"/>
        <w:jc w:val="both"/>
        <w:rPr>
          <w:rFonts w:ascii="Sylfaen" w:hAnsi="Sylfaen" w:cs="Sylfaen"/>
          <w:lang w:val="ka-GE"/>
        </w:rPr>
      </w:pPr>
      <w:r>
        <w:rPr>
          <w:rFonts w:ascii="Sylfaen" w:hAnsi="Sylfaen" w:cs="Sylfaen"/>
          <w:lang w:val="ka-GE"/>
        </w:rPr>
        <w:t>სადაზღვეო პოლი</w:t>
      </w:r>
      <w:r w:rsidR="002706F1">
        <w:rPr>
          <w:rFonts w:ascii="Sylfaen" w:hAnsi="Sylfaen" w:cs="Sylfaen"/>
          <w:lang w:val="ka-GE"/>
        </w:rPr>
        <w:t xml:space="preserve">სის მოქმედების ვადა უნდა იყოს </w:t>
      </w:r>
      <w:r w:rsidR="00D31F81">
        <w:rPr>
          <w:rFonts w:ascii="Sylfaen" w:hAnsi="Sylfaen" w:cs="Sylfaen"/>
          <w:lang w:val="ka-GE"/>
        </w:rPr>
        <w:t>3</w:t>
      </w:r>
      <w:r w:rsidR="002706F1">
        <w:rPr>
          <w:rFonts w:ascii="Sylfaen" w:hAnsi="Sylfaen" w:cs="Sylfaen"/>
          <w:lang w:val="ka-GE"/>
        </w:rPr>
        <w:t xml:space="preserve"> თვე (</w:t>
      </w:r>
      <w:r w:rsidR="00D31F81">
        <w:rPr>
          <w:rFonts w:ascii="Sylfaen" w:hAnsi="Sylfaen" w:cs="Sylfaen"/>
          <w:lang w:val="ka-GE"/>
        </w:rPr>
        <w:t>9</w:t>
      </w:r>
      <w:r w:rsidR="002706F1">
        <w:rPr>
          <w:rFonts w:ascii="Sylfaen" w:hAnsi="Sylfaen" w:cs="Sylfaen"/>
          <w:lang w:val="ka-GE"/>
        </w:rPr>
        <w:t>0 კალ დღე).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A49C212"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5769C">
        <w:rPr>
          <w:rFonts w:ascii="Sylfaen" w:hAnsi="Sylfaen"/>
          <w:lang w:val="ka-GE"/>
        </w:rPr>
        <w:t xml:space="preserve">ისანი-სამგორის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F5699C">
      <w:pPr>
        <w:pStyle w:val="ListParagraph"/>
        <w:numPr>
          <w:ilvl w:val="1"/>
          <w:numId w:val="47"/>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F60BDF">
      <w:pPr>
        <w:pStyle w:val="ListParagraph"/>
        <w:numPr>
          <w:ilvl w:val="2"/>
          <w:numId w:val="48"/>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F60BDF">
      <w:pPr>
        <w:pStyle w:val="ListParagraph"/>
        <w:numPr>
          <w:ilvl w:val="2"/>
          <w:numId w:val="49"/>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F60BDF">
      <w:pPr>
        <w:pStyle w:val="ListParagraph"/>
        <w:numPr>
          <w:ilvl w:val="2"/>
          <w:numId w:val="49"/>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F60BDF">
      <w:pPr>
        <w:pStyle w:val="ListParagraph"/>
        <w:numPr>
          <w:ilvl w:val="1"/>
          <w:numId w:val="49"/>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F60BDF">
      <w:pPr>
        <w:pStyle w:val="ListParagraph"/>
        <w:numPr>
          <w:ilvl w:val="2"/>
          <w:numId w:val="49"/>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60BDF">
      <w:pPr>
        <w:pStyle w:val="ListParagraph"/>
        <w:numPr>
          <w:ilvl w:val="2"/>
          <w:numId w:val="49"/>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F60BDF">
      <w:pPr>
        <w:pStyle w:val="ListParagraph"/>
        <w:numPr>
          <w:ilvl w:val="2"/>
          <w:numId w:val="49"/>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7E3DDD8F"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w:t>
      </w:r>
      <w:r w:rsidR="00C5014F" w:rsidRPr="00E41D48">
        <w:rPr>
          <w:rFonts w:ascii="Sylfaen" w:hAnsi="Sylfaen"/>
          <w:lang w:val="ka-GE"/>
        </w:rPr>
        <w:t>თბილისი, მედეა (მზია) ჯუღელის ქუჩა N10</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w:t>
      </w:r>
      <w:r w:rsidRPr="004808C6">
        <w:rPr>
          <w:rFonts w:ascii="Sylfaen" w:hAnsi="Sylfaen"/>
          <w:lang w:val="ka-GE"/>
        </w:rPr>
        <w:t>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bookmarkStart w:id="1" w:name="_GoBack"/>
      <w:bookmarkEnd w:id="1"/>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4C437" w14:textId="77777777" w:rsidR="00B54DF6" w:rsidRDefault="00B54DF6" w:rsidP="007902EA">
      <w:pPr>
        <w:spacing w:after="0" w:line="240" w:lineRule="auto"/>
      </w:pPr>
      <w:r>
        <w:separator/>
      </w:r>
    </w:p>
  </w:endnote>
  <w:endnote w:type="continuationSeparator" w:id="0">
    <w:p w14:paraId="3F6A49AE" w14:textId="77777777" w:rsidR="00B54DF6" w:rsidRDefault="00B54D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A4FCE6D" w:rsidR="004A3BD8" w:rsidRDefault="004A3BD8">
        <w:pPr>
          <w:pStyle w:val="Footer"/>
          <w:jc w:val="right"/>
        </w:pPr>
        <w:r>
          <w:fldChar w:fldCharType="begin"/>
        </w:r>
        <w:r>
          <w:instrText xml:space="preserve"> PAGE   \* MERGEFORMAT </w:instrText>
        </w:r>
        <w:r>
          <w:fldChar w:fldCharType="separate"/>
        </w:r>
        <w:r w:rsidR="00B54DF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28FB7" w14:textId="77777777" w:rsidR="00B54DF6" w:rsidRDefault="00B54DF6" w:rsidP="007902EA">
      <w:pPr>
        <w:spacing w:after="0" w:line="240" w:lineRule="auto"/>
      </w:pPr>
      <w:r>
        <w:separator/>
      </w:r>
    </w:p>
  </w:footnote>
  <w:footnote w:type="continuationSeparator" w:id="0">
    <w:p w14:paraId="7CC452FD" w14:textId="77777777" w:rsidR="00B54DF6" w:rsidRDefault="00B54D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24"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8"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7"/>
  </w:num>
  <w:num w:numId="5">
    <w:abstractNumId w:val="20"/>
  </w:num>
  <w:num w:numId="6">
    <w:abstractNumId w:val="5"/>
  </w:num>
  <w:num w:numId="7">
    <w:abstractNumId w:val="4"/>
  </w:num>
  <w:num w:numId="8">
    <w:abstractNumId w:val="37"/>
  </w:num>
  <w:num w:numId="9">
    <w:abstractNumId w:val="42"/>
  </w:num>
  <w:num w:numId="10">
    <w:abstractNumId w:val="22"/>
  </w:num>
  <w:num w:numId="11">
    <w:abstractNumId w:val="10"/>
  </w:num>
  <w:num w:numId="12">
    <w:abstractNumId w:val="17"/>
  </w:num>
  <w:num w:numId="13">
    <w:abstractNumId w:val="32"/>
  </w:num>
  <w:num w:numId="14">
    <w:abstractNumId w:val="24"/>
  </w:num>
  <w:num w:numId="15">
    <w:abstractNumId w:val="16"/>
  </w:num>
  <w:num w:numId="16">
    <w:abstractNumId w:val="40"/>
  </w:num>
  <w:num w:numId="17">
    <w:abstractNumId w:val="29"/>
  </w:num>
  <w:num w:numId="18">
    <w:abstractNumId w:val="26"/>
  </w:num>
  <w:num w:numId="19">
    <w:abstractNumId w:val="9"/>
  </w:num>
  <w:num w:numId="20">
    <w:abstractNumId w:val="2"/>
  </w:num>
  <w:num w:numId="21">
    <w:abstractNumId w:val="46"/>
  </w:num>
  <w:num w:numId="22">
    <w:abstractNumId w:val="48"/>
  </w:num>
  <w:num w:numId="23">
    <w:abstractNumId w:val="18"/>
  </w:num>
  <w:num w:numId="24">
    <w:abstractNumId w:val="41"/>
  </w:num>
  <w:num w:numId="25">
    <w:abstractNumId w:val="14"/>
  </w:num>
  <w:num w:numId="26">
    <w:abstractNumId w:val="36"/>
  </w:num>
  <w:num w:numId="27">
    <w:abstractNumId w:val="3"/>
  </w:num>
  <w:num w:numId="28">
    <w:abstractNumId w:val="34"/>
  </w:num>
  <w:num w:numId="29">
    <w:abstractNumId w:val="30"/>
  </w:num>
  <w:num w:numId="30">
    <w:abstractNumId w:val="39"/>
  </w:num>
  <w:num w:numId="31">
    <w:abstractNumId w:val="44"/>
  </w:num>
  <w:num w:numId="32">
    <w:abstractNumId w:val="35"/>
  </w:num>
  <w:num w:numId="33">
    <w:abstractNumId w:val="12"/>
  </w:num>
  <w:num w:numId="34">
    <w:abstractNumId w:val="6"/>
  </w:num>
  <w:num w:numId="35">
    <w:abstractNumId w:val="43"/>
  </w:num>
  <w:num w:numId="36">
    <w:abstractNumId w:val="25"/>
  </w:num>
  <w:num w:numId="37">
    <w:abstractNumId w:val="13"/>
  </w:num>
  <w:num w:numId="38">
    <w:abstractNumId w:val="15"/>
  </w:num>
  <w:num w:numId="39">
    <w:abstractNumId w:val="31"/>
  </w:num>
  <w:num w:numId="40">
    <w:abstractNumId w:val="7"/>
  </w:num>
  <w:num w:numId="41">
    <w:abstractNumId w:val="28"/>
  </w:num>
  <w:num w:numId="42">
    <w:abstractNumId w:val="45"/>
  </w:num>
  <w:num w:numId="43">
    <w:abstractNumId w:val="11"/>
  </w:num>
  <w:num w:numId="44">
    <w:abstractNumId w:val="19"/>
  </w:num>
  <w:num w:numId="45">
    <w:abstractNumId w:val="8"/>
  </w:num>
  <w:num w:numId="46">
    <w:abstractNumId w:val="37"/>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3"/>
  </w:num>
  <w:num w:numId="48">
    <w:abstractNumId w:val="38"/>
  </w:num>
  <w:num w:numId="49">
    <w:abstractNumId w:val="23"/>
  </w:num>
  <w:num w:numId="5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4051"/>
    <w:rsid w:val="00015E1B"/>
    <w:rsid w:val="000202A5"/>
    <w:rsid w:val="00024394"/>
    <w:rsid w:val="00026B30"/>
    <w:rsid w:val="00027D70"/>
    <w:rsid w:val="00031452"/>
    <w:rsid w:val="00031E8F"/>
    <w:rsid w:val="00032926"/>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1135"/>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69C"/>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08C6"/>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1DE5"/>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54DF6"/>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014F"/>
    <w:rsid w:val="00C55BCF"/>
    <w:rsid w:val="00C67999"/>
    <w:rsid w:val="00C73981"/>
    <w:rsid w:val="00C7542B"/>
    <w:rsid w:val="00C761CC"/>
    <w:rsid w:val="00C76391"/>
    <w:rsid w:val="00C81A35"/>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1F81"/>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485D"/>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51A2"/>
    <w:rsid w:val="00E76057"/>
    <w:rsid w:val="00E8201E"/>
    <w:rsid w:val="00E84009"/>
    <w:rsid w:val="00E8598F"/>
    <w:rsid w:val="00E905AF"/>
    <w:rsid w:val="00E9333B"/>
    <w:rsid w:val="00E94223"/>
    <w:rsid w:val="00E94ED1"/>
    <w:rsid w:val="00E95292"/>
    <w:rsid w:val="00E96848"/>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1136"/>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47C7-F537-4145-B52F-099F57CF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34</cp:revision>
  <cp:lastPrinted>2015-07-27T06:36:00Z</cp:lastPrinted>
  <dcterms:created xsi:type="dcterms:W3CDTF">2020-11-03T14:15:00Z</dcterms:created>
  <dcterms:modified xsi:type="dcterms:W3CDTF">2022-06-21T14:04:00Z</dcterms:modified>
</cp:coreProperties>
</file>